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7777777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57C621BA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FA2499" w:rsidRPr="00FA2499">
        <w:rPr>
          <w:rFonts w:ascii="Arial" w:hAnsi="Arial" w:cs="Arial"/>
          <w:b/>
          <w:sz w:val="24"/>
          <w:szCs w:val="24"/>
        </w:rPr>
        <w:t>»Izgradnja infrastrukture ob povezovalni cesti med Dobovsko cesti in Prešernovo cesto v Brežicah«</w:t>
      </w:r>
      <w:r w:rsidR="00FA2499" w:rsidRPr="003A0BAB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0D70D81A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  <w:r w:rsidR="00513656">
        <w:rPr>
          <w:rFonts w:ascii="Arial" w:hAnsi="Arial" w:cs="Arial"/>
          <w:b/>
          <w:sz w:val="28"/>
          <w:szCs w:val="28"/>
        </w:rPr>
        <w:t xml:space="preserve"> A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1AF9EF1D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0156DCB1" w14:textId="77777777" w:rsidR="00513656" w:rsidRDefault="00513656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513656" w:rsidRPr="009D5D5F" w14:paraId="64E67154" w14:textId="77777777" w:rsidTr="00513656">
        <w:tc>
          <w:tcPr>
            <w:tcW w:w="558" w:type="dxa"/>
            <w:vAlign w:val="center"/>
          </w:tcPr>
          <w:p w14:paraId="28EA3445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0" w:type="dxa"/>
            <w:vAlign w:val="center"/>
          </w:tcPr>
          <w:p w14:paraId="3BE3F476" w14:textId="2F940445" w:rsidR="00513656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z w:val="22"/>
                <w:szCs w:val="22"/>
              </w:rPr>
              <w:t>nudbena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5D5F">
              <w:rPr>
                <w:rFonts w:ascii="Arial" w:hAnsi="Arial" w:cs="Arial"/>
                <w:sz w:val="22"/>
                <w:szCs w:val="22"/>
              </w:rPr>
              <w:t>cena</w:t>
            </w:r>
            <w:r>
              <w:rPr>
                <w:rFonts w:ascii="Arial" w:hAnsi="Arial" w:cs="Arial"/>
                <w:sz w:val="22"/>
                <w:szCs w:val="22"/>
              </w:rPr>
              <w:t xml:space="preserve"> brez DDV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32631F4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05" w:type="dxa"/>
            <w:gridSpan w:val="2"/>
            <w:shd w:val="clear" w:color="auto" w:fill="auto"/>
            <w:vAlign w:val="center"/>
          </w:tcPr>
          <w:p w14:paraId="391B3C56" w14:textId="5722B11C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656" w:rsidRPr="009D5D5F" w14:paraId="60EE8A55" w14:textId="77777777" w:rsidTr="007B7941">
        <w:tc>
          <w:tcPr>
            <w:tcW w:w="558" w:type="dxa"/>
            <w:vAlign w:val="center"/>
          </w:tcPr>
          <w:p w14:paraId="7796854B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1.a</w:t>
            </w:r>
          </w:p>
        </w:tc>
        <w:tc>
          <w:tcPr>
            <w:tcW w:w="3960" w:type="dxa"/>
            <w:vAlign w:val="center"/>
          </w:tcPr>
          <w:p w14:paraId="64849005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Cesta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C9600BC" w14:textId="77777777" w:rsidR="00513656" w:rsidRPr="005219FC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1A6FBDF" w14:textId="77777777" w:rsidR="00513656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  <w:p w14:paraId="6E19701A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656" w:rsidRPr="009D5D5F" w14:paraId="58FD9806" w14:textId="77777777" w:rsidTr="007B7941">
        <w:tc>
          <w:tcPr>
            <w:tcW w:w="558" w:type="dxa"/>
            <w:vAlign w:val="center"/>
          </w:tcPr>
          <w:p w14:paraId="3A3DC681" w14:textId="77777777" w:rsidR="00513656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1.b</w:t>
            </w:r>
          </w:p>
        </w:tc>
        <w:tc>
          <w:tcPr>
            <w:tcW w:w="3960" w:type="dxa"/>
            <w:vAlign w:val="center"/>
          </w:tcPr>
          <w:p w14:paraId="6EF524B8" w14:textId="77777777" w:rsidR="00513656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Kanalizacija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D8E8939" w14:textId="77777777" w:rsidR="00513656" w:rsidRPr="005219FC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0333C93" w14:textId="77777777" w:rsidR="00513656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  <w:p w14:paraId="78A7D0AE" w14:textId="77777777" w:rsidR="00513656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656" w:rsidRPr="009D5D5F" w14:paraId="71CAB2EA" w14:textId="77777777" w:rsidTr="007B7941">
        <w:tc>
          <w:tcPr>
            <w:tcW w:w="558" w:type="dxa"/>
            <w:vAlign w:val="center"/>
          </w:tcPr>
          <w:p w14:paraId="13BDFEEA" w14:textId="77777777" w:rsidR="00513656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AE91D96" w14:textId="77777777" w:rsidR="00513656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1.a + 1.b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C2107BD" w14:textId="77777777" w:rsidR="00513656" w:rsidRPr="005219FC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A32CE6D" w14:textId="77777777" w:rsidR="00513656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  <w:p w14:paraId="0A26139A" w14:textId="77777777" w:rsidR="00513656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656" w:rsidRPr="009D5D5F" w14:paraId="0A909730" w14:textId="77777777" w:rsidTr="007B7941">
        <w:tc>
          <w:tcPr>
            <w:tcW w:w="558" w:type="dxa"/>
            <w:vAlign w:val="center"/>
          </w:tcPr>
          <w:p w14:paraId="083EAF27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67D20D42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0538F9F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5219FC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0B976CB" w14:textId="77777777" w:rsidR="00513656" w:rsidRPr="005219FC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60F0DC9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13656" w:rsidRPr="009D5D5F" w14:paraId="52E7EFBE" w14:textId="77777777" w:rsidTr="007B7941">
        <w:tc>
          <w:tcPr>
            <w:tcW w:w="558" w:type="dxa"/>
            <w:vAlign w:val="center"/>
          </w:tcPr>
          <w:p w14:paraId="6804C4A2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F85D89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8290CB6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9D987F3" w14:textId="77777777" w:rsidR="00513656" w:rsidRPr="005219FC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94122FB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13656" w:rsidRPr="009D5D5F" w14:paraId="660B5410" w14:textId="77777777" w:rsidTr="007B7941">
        <w:tc>
          <w:tcPr>
            <w:tcW w:w="558" w:type="dxa"/>
            <w:vAlign w:val="center"/>
          </w:tcPr>
          <w:p w14:paraId="26E52FE8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416B8FA1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 % *</w:t>
            </w:r>
          </w:p>
          <w:p w14:paraId="5671DDBE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9549C16" w14:textId="77777777" w:rsidR="00513656" w:rsidRPr="005219FC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DF4DE91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13656" w:rsidRPr="009D5D5F" w14:paraId="4BAEF3CE" w14:textId="77777777" w:rsidTr="007B7941">
        <w:tc>
          <w:tcPr>
            <w:tcW w:w="558" w:type="dxa"/>
            <w:vAlign w:val="center"/>
          </w:tcPr>
          <w:p w14:paraId="5BA4DF86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5F1FFF3B" w14:textId="5D923CB2" w:rsidR="00513656" w:rsidRPr="009D5D5F" w:rsidRDefault="00513656" w:rsidP="007B794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b/>
                <w:sz w:val="22"/>
                <w:szCs w:val="22"/>
              </w:rPr>
              <w:t>ponudbena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cena z 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na točko 1.a s popustom</w:t>
            </w:r>
          </w:p>
          <w:p w14:paraId="698F5552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( 3 + 4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AC9114B" w14:textId="77777777" w:rsidR="00513656" w:rsidRPr="005219FC" w:rsidRDefault="00513656" w:rsidP="007B794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EA9304E" w14:textId="77777777" w:rsidR="00513656" w:rsidRPr="009D5D5F" w:rsidRDefault="00513656" w:rsidP="007B794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1669FAEF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F727EB6" w14:textId="77777777" w:rsidR="00513656" w:rsidRPr="00513656" w:rsidRDefault="00513656" w:rsidP="00513656">
      <w:pPr>
        <w:pStyle w:val="Telobesedila"/>
        <w:rPr>
          <w:rFonts w:ascii="Arial" w:hAnsi="Arial" w:cs="Arial"/>
          <w:bCs/>
          <w:snapToGrid w:val="0"/>
          <w:sz w:val="22"/>
          <w:szCs w:val="22"/>
        </w:rPr>
      </w:pPr>
      <w:r w:rsidRPr="00513656">
        <w:rPr>
          <w:rFonts w:ascii="Arial" w:hAnsi="Arial" w:cs="Arial"/>
          <w:bCs/>
          <w:snapToGrid w:val="0"/>
          <w:sz w:val="22"/>
          <w:szCs w:val="22"/>
        </w:rPr>
        <w:t>*</w:t>
      </w:r>
    </w:p>
    <w:p w14:paraId="1673F013" w14:textId="77777777" w:rsidR="00513656" w:rsidRPr="00513656" w:rsidRDefault="00513656" w:rsidP="00513656">
      <w:pPr>
        <w:pStyle w:val="Telobesedila"/>
        <w:rPr>
          <w:rFonts w:ascii="Arial" w:hAnsi="Arial" w:cs="Arial"/>
          <w:bCs/>
          <w:snapToGrid w:val="0"/>
          <w:color w:val="000000"/>
          <w:sz w:val="22"/>
          <w:szCs w:val="22"/>
        </w:rPr>
      </w:pPr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Davek na dodano vrednost se za izvedbo del na kanalizaciji (1.b) ne zaračuna. Upošteva se mehanizem obrnjene davčne stopnje na podlagi 76.a člena Zakona o davku na dodano vrednost (Uradni list RS, št.: </w:t>
      </w:r>
      <w:hyperlink r:id="rId8" w:tgtFrame="_blank" w:tooltip="Zakon o davku na dodano vrednost (uradno prečiščeno besedilo)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13/11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– uradno prečiščeno besedilo, </w:t>
      </w:r>
      <w:hyperlink r:id="rId9" w:tgtFrame="_blank" w:tooltip="Zakon o dopolnitvah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18/11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10" w:tgtFrame="_blank" w:tooltip="Zakon o spremembah in dopolnitvah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78/11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11" w:tgtFrame="_blank" w:tooltip="Zakon o spremembah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38/12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12" w:tgtFrame="_blank" w:tooltip="Zakon o spremembah in dopolnitvah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83/12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13" w:tgtFrame="_blank" w:tooltip="Zakon o spremembah in dopolnitvah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86/14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in </w:t>
      </w:r>
      <w:hyperlink r:id="rId14" w:tgtFrame="_blank" w:tooltip="Zakon o spremembah in dopolnitvah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90/15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) in 127.b člena Pravilnika o izvrševanju Zakona o davku na dodano vrednost (Uradni list , št. </w:t>
      </w:r>
      <w:hyperlink r:id="rId15" w:tgtFrame="_blank" w:tooltip="Pravilnik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141/06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16" w:tgtFrame="_blank" w:tooltip="Pravilnik o spremembah in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52/07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17" w:tgtFrame="_blank" w:tooltip="Pravilnik o spremembah in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120/07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18" w:tgtFrame="_blank" w:tooltip="Pravilnik o sprememb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21/08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19" w:tgtFrame="_blank" w:tooltip="Pravilnik o spremembah in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123/08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20" w:tgtFrame="_blank" w:tooltip="Pravilnik o spremembah in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105/09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21" w:tgtFrame="_blank" w:tooltip="Pravilnik o spremembah in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27/10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22" w:tgtFrame="_blank" w:tooltip="Pravilnik o spremembah in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104/10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23" w:tgtFrame="_blank" w:tooltip="Pravilnik o spremembi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110/10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24" w:tgtFrame="_blank" w:tooltip="Pravilnik o spremembah in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82/11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25" w:tgtFrame="_blank" w:tooltip="Pravilnik o spremembah in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106/11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26" w:tgtFrame="_blank" w:tooltip="Pravilnik o spremembah Pravilnika o spremembah in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108/11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27" w:tgtFrame="_blank" w:tooltip="Pravilnik o spremembah in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102/12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28" w:tgtFrame="_blank" w:tooltip="Pravilnik o spremembah in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54/13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29" w:tgtFrame="_blank" w:tooltip="Pravilnik o spremembah in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85/14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30" w:tgtFrame="_blank" w:tooltip="Pravilnik o spremembah in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95/14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, </w:t>
      </w:r>
      <w:hyperlink r:id="rId31" w:tgtFrame="_blank" w:tooltip="Pravilnik o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39/16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in </w:t>
      </w:r>
      <w:hyperlink r:id="rId32" w:tgtFrame="_blank" w:tooltip="Pravilnik o spremembah in dopolnitvah Pravilnika o izvajanju Zakona o davku na dodano vrednost" w:history="1">
        <w:r w:rsidRPr="00513656">
          <w:rPr>
            <w:rFonts w:ascii="Arial" w:hAnsi="Arial" w:cs="Arial"/>
            <w:bCs/>
            <w:snapToGrid w:val="0"/>
            <w:color w:val="000000"/>
            <w:sz w:val="22"/>
            <w:szCs w:val="22"/>
          </w:rPr>
          <w:t>45/16</w:t>
        </w:r>
      </w:hyperlink>
      <w:r w:rsidRPr="00513656">
        <w:rPr>
          <w:rFonts w:ascii="Arial" w:hAnsi="Arial" w:cs="Arial"/>
          <w:bCs/>
          <w:snapToGrid w:val="0"/>
          <w:color w:val="000000"/>
          <w:sz w:val="22"/>
          <w:szCs w:val="22"/>
        </w:rPr>
        <w:t>).</w:t>
      </w:r>
    </w:p>
    <w:p w14:paraId="78CDC85D" w14:textId="77777777" w:rsidR="00513656" w:rsidRPr="00513656" w:rsidRDefault="00513656" w:rsidP="00513656">
      <w:pPr>
        <w:pStyle w:val="Telobesedila"/>
        <w:rPr>
          <w:rFonts w:ascii="Arial" w:hAnsi="Arial" w:cs="Arial"/>
          <w:bCs/>
          <w:snapToGrid w:val="0"/>
          <w:color w:val="000000"/>
          <w:sz w:val="22"/>
          <w:szCs w:val="22"/>
        </w:rPr>
      </w:pPr>
    </w:p>
    <w:p w14:paraId="098C9239" w14:textId="77777777" w:rsidR="00513656" w:rsidRPr="00513656" w:rsidRDefault="00513656" w:rsidP="00513656">
      <w:pPr>
        <w:pStyle w:val="Telobesedila"/>
        <w:rPr>
          <w:rFonts w:ascii="Arial" w:hAnsi="Arial" w:cs="Arial"/>
          <w:bCs/>
          <w:snapToGrid w:val="0"/>
          <w:sz w:val="22"/>
          <w:szCs w:val="22"/>
        </w:rPr>
      </w:pPr>
      <w:r w:rsidRPr="00513656">
        <w:rPr>
          <w:rFonts w:ascii="Arial" w:hAnsi="Arial" w:cs="Arial"/>
          <w:bCs/>
          <w:snapToGrid w:val="0"/>
          <w:sz w:val="22"/>
          <w:szCs w:val="22"/>
        </w:rPr>
        <w:t>Informativna vrednost DDV na točko 1.b Kanalizacija s popustom znaša: ___________ EUR.</w:t>
      </w:r>
    </w:p>
    <w:p w14:paraId="1955D456" w14:textId="57A73A4F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574DD23" w14:textId="77777777" w:rsidR="00513656" w:rsidRDefault="00513656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513656">
        <w:trPr>
          <w:trHeight w:val="647"/>
        </w:trPr>
        <w:tc>
          <w:tcPr>
            <w:tcW w:w="2345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432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C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D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1955D45E" w14:textId="77777777" w:rsidR="00A1771D" w:rsidRDefault="00A1771D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</w:t>
      </w:r>
      <w:r w:rsidR="00852F55">
        <w:rPr>
          <w:rFonts w:ascii="Arial" w:hAnsi="Arial" w:cs="Arial"/>
          <w:sz w:val="22"/>
          <w:szCs w:val="22"/>
        </w:rPr>
        <w:t xml:space="preserve">vezani na izvedbo predmeta javnega naročila v skladu z določili </w:t>
      </w:r>
      <w:r w:rsidR="008E2BE0">
        <w:rPr>
          <w:rFonts w:ascii="Arial" w:hAnsi="Arial" w:cs="Arial"/>
          <w:sz w:val="22"/>
        </w:rPr>
        <w:t>razpisne dokumentacije.</w:t>
      </w:r>
    </w:p>
    <w:p w14:paraId="1955D45F" w14:textId="342A608C" w:rsidR="001B0C7B" w:rsidRPr="00FA2499" w:rsidRDefault="001B0C7B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A2499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po sklenitvi pogodbe </w:t>
      </w:r>
      <w:r w:rsidR="00FA2499" w:rsidRPr="00FA2499">
        <w:rPr>
          <w:rFonts w:ascii="Arial" w:hAnsi="Arial" w:cs="Arial"/>
          <w:sz w:val="22"/>
          <w:szCs w:val="22"/>
        </w:rPr>
        <w:t>ter dela dokončati v rokih iz razpisne dokumentacije</w:t>
      </w:r>
      <w:r w:rsidR="00B71AF0" w:rsidRPr="00FA2499">
        <w:rPr>
          <w:rFonts w:ascii="Arial" w:hAnsi="Arial" w:cs="Arial"/>
          <w:sz w:val="22"/>
          <w:szCs w:val="22"/>
        </w:rPr>
        <w:t>.</w:t>
      </w:r>
    </w:p>
    <w:p w14:paraId="1955D460" w14:textId="77777777" w:rsidR="001B0C7B" w:rsidRPr="00FA2499" w:rsidRDefault="001B0C7B" w:rsidP="001B0C7B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FA2499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 w:rsidR="00B71AF0" w:rsidRPr="00FA2499">
        <w:rPr>
          <w:rFonts w:ascii="Arial" w:hAnsi="Arial" w:cs="Arial"/>
          <w:sz w:val="22"/>
          <w:szCs w:val="22"/>
        </w:rPr>
        <w:t>predmetne razpisne dokumentacije</w:t>
      </w:r>
      <w:r w:rsidRPr="00FA2499">
        <w:rPr>
          <w:rFonts w:ascii="Arial" w:hAnsi="Arial" w:cs="Arial"/>
          <w:sz w:val="22"/>
          <w:szCs w:val="22"/>
        </w:rPr>
        <w:t>.</w:t>
      </w:r>
    </w:p>
    <w:p w14:paraId="323D9EDA" w14:textId="77777777" w:rsidR="00FA2499" w:rsidRPr="00FA2499" w:rsidRDefault="001B0C7B" w:rsidP="00FA2499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FA2499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 w:rsidR="00B71AF0" w:rsidRPr="00FA2499">
        <w:rPr>
          <w:rFonts w:ascii="Arial" w:hAnsi="Arial" w:cs="Arial"/>
          <w:sz w:val="22"/>
          <w:szCs w:val="22"/>
        </w:rPr>
        <w:t>z določili iz predmetne razpisne dokumentacije.</w:t>
      </w:r>
      <w:r w:rsidRPr="00FA2499">
        <w:rPr>
          <w:rFonts w:ascii="Arial" w:hAnsi="Arial" w:cs="Arial"/>
          <w:sz w:val="22"/>
          <w:szCs w:val="22"/>
        </w:rPr>
        <w:t xml:space="preserve">. </w:t>
      </w:r>
    </w:p>
    <w:p w14:paraId="1D94CF49" w14:textId="66B11348" w:rsidR="00CB0A3F" w:rsidRPr="00FA2499" w:rsidRDefault="00011F57" w:rsidP="00FA2499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FA2499">
        <w:rPr>
          <w:rFonts w:ascii="Arial" w:hAnsi="Arial" w:cs="Arial"/>
          <w:sz w:val="22"/>
          <w:szCs w:val="22"/>
        </w:rPr>
        <w:t>Neto ponudbena c</w:t>
      </w:r>
      <w:r w:rsidR="00703002" w:rsidRPr="00FA2499">
        <w:rPr>
          <w:rFonts w:ascii="Arial" w:hAnsi="Arial" w:cs="Arial"/>
          <w:sz w:val="22"/>
          <w:szCs w:val="22"/>
        </w:rPr>
        <w:t>ena na enoto posamezne postavke je fiksna in dokončna do zaključka izvedbe javnega naročila. Ponudba vsebuje vse stroške, ki jih bomo imeli z izvedbo javnega naročila, ter da nismo upravičeni do podražitev</w:t>
      </w:r>
      <w:r w:rsidR="00CB0A3F" w:rsidRPr="00FA2499">
        <w:rPr>
          <w:rFonts w:ascii="Arial" w:hAnsi="Arial" w:cs="Arial"/>
          <w:sz w:val="22"/>
          <w:szCs w:val="22"/>
        </w:rPr>
        <w:t xml:space="preserve">.  </w:t>
      </w:r>
    </w:p>
    <w:p w14:paraId="1955D463" w14:textId="77777777" w:rsidR="001B0C7B" w:rsidRPr="00FA2499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FA2499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1955D464" w14:textId="77777777" w:rsidR="001B0C7B" w:rsidRPr="00FA2499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5" w14:textId="77777777" w:rsidR="001B0C7B" w:rsidRPr="00FA2499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6" w14:textId="77777777" w:rsidR="001B0C7B" w:rsidRPr="00FA2499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7" w14:textId="77777777" w:rsidR="00514290" w:rsidRPr="00FA2499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FA2499">
        <w:rPr>
          <w:rFonts w:ascii="Arial" w:hAnsi="Arial" w:cs="Arial"/>
          <w:sz w:val="22"/>
          <w:szCs w:val="22"/>
        </w:rPr>
        <w:t>Priloge</w:t>
      </w:r>
      <w:r w:rsidR="001B0C7B" w:rsidRPr="00FA2499">
        <w:rPr>
          <w:rFonts w:ascii="Arial" w:hAnsi="Arial" w:cs="Arial"/>
          <w:sz w:val="22"/>
          <w:szCs w:val="22"/>
        </w:rPr>
        <w:t xml:space="preserve">: </w:t>
      </w:r>
    </w:p>
    <w:p w14:paraId="1955D468" w14:textId="77777777" w:rsidR="001B0C7B" w:rsidRPr="00FA2499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FA2499">
        <w:rPr>
          <w:rFonts w:ascii="Arial" w:hAnsi="Arial" w:cs="Arial"/>
          <w:sz w:val="22"/>
          <w:szCs w:val="22"/>
        </w:rPr>
        <w:t>Ponudbeni predračun</w:t>
      </w:r>
    </w:p>
    <w:p w14:paraId="1955D469" w14:textId="77777777" w:rsidR="00514290" w:rsidRPr="00FA2499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FA2499">
        <w:rPr>
          <w:rFonts w:ascii="Arial" w:hAnsi="Arial" w:cs="Arial"/>
          <w:sz w:val="22"/>
          <w:szCs w:val="22"/>
        </w:rPr>
        <w:t>Akt o skupnem nastopanju</w:t>
      </w:r>
    </w:p>
    <w:p w14:paraId="1955D46A" w14:textId="77777777" w:rsidR="001B0C7B" w:rsidRPr="00FA2499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33"/>
      <w:footerReference w:type="default" r:id="rId34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5D477" w14:textId="77777777" w:rsidR="0097335B" w:rsidRDefault="0097335B" w:rsidP="000B6BBD">
      <w:r>
        <w:separator/>
      </w:r>
    </w:p>
  </w:endnote>
  <w:endnote w:type="continuationSeparator" w:id="0">
    <w:p w14:paraId="1955D478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6001B770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5136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5D475" w14:textId="77777777" w:rsidR="0097335B" w:rsidRDefault="0097335B" w:rsidP="000B6BBD">
      <w:r>
        <w:separator/>
      </w:r>
    </w:p>
  </w:footnote>
  <w:footnote w:type="continuationSeparator" w:id="0">
    <w:p w14:paraId="1955D476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3489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1EFE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3656"/>
    <w:rsid w:val="00514290"/>
    <w:rsid w:val="0052118D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9478C"/>
    <w:rsid w:val="00FA2499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radni-list.si/1/objava.jsp?sop=2014-01-3486" TargetMode="External"/><Relationship Id="rId18" Type="http://schemas.openxmlformats.org/officeDocument/2006/relationships/hyperlink" Target="http://www.uradni-list.si/1/objava.jsp?sop=2008-01-0708" TargetMode="External"/><Relationship Id="rId26" Type="http://schemas.openxmlformats.org/officeDocument/2006/relationships/hyperlink" Target="http://www.uradni-list.si/1/objava.jsp?sop=2011-01-4869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adni-list.si/1/objava.jsp?sop=2010-01-1232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sop=2012-01-3288" TargetMode="External"/><Relationship Id="rId17" Type="http://schemas.openxmlformats.org/officeDocument/2006/relationships/hyperlink" Target="http://www.uradni-list.si/1/objava.jsp?sop=2007-01-6094" TargetMode="External"/><Relationship Id="rId25" Type="http://schemas.openxmlformats.org/officeDocument/2006/relationships/hyperlink" Target="http://www.uradni-list.si/1/objava.jsp?sop=2011-01-4698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uradni-list.si/1/objava.jsp?sop=2007-01-2794" TargetMode="External"/><Relationship Id="rId20" Type="http://schemas.openxmlformats.org/officeDocument/2006/relationships/hyperlink" Target="http://www.uradni-list.si/1/objava.jsp?sop=2009-01-4671" TargetMode="External"/><Relationship Id="rId29" Type="http://schemas.openxmlformats.org/officeDocument/2006/relationships/hyperlink" Target="http://www.uradni-list.si/1/objava.jsp?sop=2014-01-34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sop=2012-01-1628" TargetMode="External"/><Relationship Id="rId24" Type="http://schemas.openxmlformats.org/officeDocument/2006/relationships/hyperlink" Target="http://www.uradni-list.si/1/objava.jsp?sop=2011-01-3493" TargetMode="External"/><Relationship Id="rId32" Type="http://schemas.openxmlformats.org/officeDocument/2006/relationships/hyperlink" Target="http://www.uradni-list.si/1/objava.jsp?sop=2016-01-197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dni-list.si/1/objava.jsp?sop=2006-01-6170" TargetMode="External"/><Relationship Id="rId23" Type="http://schemas.openxmlformats.org/officeDocument/2006/relationships/hyperlink" Target="http://www.uradni-list.si/1/objava.jsp?sop=2010-01-5771" TargetMode="External"/><Relationship Id="rId28" Type="http://schemas.openxmlformats.org/officeDocument/2006/relationships/hyperlink" Target="http://www.uradni-list.si/1/objava.jsp?sop=2013-01-2056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uradni-list.si/1/objava.jsp?sop=2011-01-3294" TargetMode="External"/><Relationship Id="rId19" Type="http://schemas.openxmlformats.org/officeDocument/2006/relationships/hyperlink" Target="http://www.uradni-list.si/1/objava.jsp?sop=2008-01-5576" TargetMode="External"/><Relationship Id="rId31" Type="http://schemas.openxmlformats.org/officeDocument/2006/relationships/hyperlink" Target="http://www.uradni-list.si/1/objava.jsp?sop=2016-01-17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1-01-0765" TargetMode="External"/><Relationship Id="rId14" Type="http://schemas.openxmlformats.org/officeDocument/2006/relationships/hyperlink" Target="http://www.uradni-list.si/1/objava.jsp?sop=2015-01-3505" TargetMode="External"/><Relationship Id="rId22" Type="http://schemas.openxmlformats.org/officeDocument/2006/relationships/hyperlink" Target="http://www.uradni-list.si/1/objava.jsp?sop=2010-01-5347" TargetMode="External"/><Relationship Id="rId27" Type="http://schemas.openxmlformats.org/officeDocument/2006/relationships/hyperlink" Target="http://www.uradni-list.si/1/objava.jsp?sop=2012-01-3868" TargetMode="External"/><Relationship Id="rId30" Type="http://schemas.openxmlformats.org/officeDocument/2006/relationships/hyperlink" Target="http://www.uradni-list.si/1/objava.jsp?sop=2014-01-3955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www.uradni-list.si/1/objava.jsp?sop=2011-01-0554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66A69-ECAD-4FAB-BC78-CBBAB115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dcterms:created xsi:type="dcterms:W3CDTF">2017-06-28T08:00:00Z</dcterms:created>
  <dcterms:modified xsi:type="dcterms:W3CDTF">2017-06-28T08:04:00Z</dcterms:modified>
</cp:coreProperties>
</file>